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9B48CE">
      <w:pPr>
        <w:jc w:val="center"/>
        <w:rPr>
          <w:rFonts w:hint="eastAsia" w:ascii="方正小标宋简体" w:hAnsi="方正小标宋简体" w:eastAsia="方正小标宋简体" w:cs="Lucida Calligraphy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国际经济管理学院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Lucida Calligraphy"/>
          <w:bCs/>
          <w:sz w:val="36"/>
          <w:szCs w:val="36"/>
          <w:lang w:val="en-US" w:eastAsia="zh-CN"/>
        </w:rPr>
        <w:t>院级荣誉</w:t>
      </w:r>
    </w:p>
    <w:p w14:paraId="0F13A650">
      <w:pPr>
        <w:jc w:val="center"/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Lucida Calligraphy"/>
          <w:bCs/>
          <w:sz w:val="36"/>
          <w:szCs w:val="36"/>
          <w:lang w:val="en-US" w:eastAsia="zh-CN"/>
        </w:rPr>
        <w:t>“ISEM奖”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评选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通知</w:t>
      </w:r>
    </w:p>
    <w:p w14:paraId="2E1E0DB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</w:p>
    <w:p w14:paraId="07769AE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为加强国际经济管理学院院风、学风建设，引导全体学生发扬刻苦学习、勇于创新、团结协作、奋发向上的精神，追求全面发展、提高综合素养，努力成长为德智体美劳全面发展的优秀人才，结合我院实际情况，组织开展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2025年度</w:t>
      </w:r>
      <w:r>
        <w:rPr>
          <w:rFonts w:hint="eastAsia" w:ascii="仿宋_GB2312" w:hAnsi="宋体" w:eastAsia="仿宋_GB2312"/>
          <w:sz w:val="28"/>
          <w:szCs w:val="28"/>
        </w:rPr>
        <w:t>ISEM奖评选工作，现将相关事宜通知如下：</w:t>
      </w:r>
    </w:p>
    <w:p w14:paraId="02569AD8">
      <w:pPr>
        <w:tabs>
          <w:tab w:val="left" w:pos="2464"/>
        </w:tabs>
        <w:adjustRightInd w:val="0"/>
        <w:snapToGrid w:val="0"/>
        <w:spacing w:line="360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一、参评对象</w:t>
      </w:r>
    </w:p>
    <w:p w14:paraId="76A5CEFE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参评对象需为国际经济管理学院全日制在读学生，包括本科、硕士、博士，并满足以下基本条件：</w:t>
      </w:r>
    </w:p>
    <w:p w14:paraId="6FE6744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1.热爱祖国，拥护中国共产党的领导；</w:t>
      </w:r>
    </w:p>
    <w:p w14:paraId="79763E9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2.遵守宪法和法律，遵守学校规章制度；</w:t>
      </w:r>
    </w:p>
    <w:p w14:paraId="0A82E765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3.诚实守信，恪守道德，品学兼优；</w:t>
      </w:r>
    </w:p>
    <w:p w14:paraId="6F127688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4.按学校规定时间报到、注册和缴费。</w:t>
      </w:r>
    </w:p>
    <w:p w14:paraId="63E95E4F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  <w:u w:val="single"/>
        </w:rPr>
      </w:pPr>
      <w:r>
        <w:rPr>
          <w:rFonts w:hint="eastAsia" w:ascii="仿宋_GB2312" w:hAnsi="宋体" w:eastAsia="仿宋_GB2312"/>
          <w:bCs/>
          <w:sz w:val="28"/>
          <w:szCs w:val="28"/>
          <w:u w:val="single"/>
        </w:rPr>
        <w:t>有下列情况之一者不能参加当年评审：</w:t>
      </w:r>
    </w:p>
    <w:p w14:paraId="7863583E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1.评定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bCs/>
          <w:sz w:val="28"/>
          <w:szCs w:val="28"/>
        </w:rPr>
        <w:t>违反校纪校规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或受处分</w:t>
      </w:r>
      <w:r>
        <w:rPr>
          <w:rFonts w:hint="eastAsia" w:ascii="仿宋_GB2312" w:hAnsi="宋体" w:eastAsia="仿宋_GB2312"/>
          <w:bCs/>
          <w:sz w:val="28"/>
          <w:szCs w:val="28"/>
        </w:rPr>
        <w:t>者；</w:t>
      </w:r>
    </w:p>
    <w:p w14:paraId="53C3A11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2.在学术研究中存在弄虚作假行为者；</w:t>
      </w:r>
    </w:p>
    <w:p w14:paraId="4F57D412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3.评定年度存在休学或者发生退学、提前毕业等学籍异动者。</w:t>
      </w:r>
    </w:p>
    <w:p w14:paraId="08A88DA0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</w:p>
    <w:p w14:paraId="6874F8ED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 奖项设置</w:t>
      </w:r>
    </w:p>
    <w:p w14:paraId="1D2BE27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院级荣誉ISEM奖</w:t>
      </w:r>
      <w:r>
        <w:rPr>
          <w:rFonts w:hint="eastAsia" w:ascii="仿宋_GB2312" w:hAnsi="宋体" w:eastAsia="仿宋_GB2312"/>
          <w:sz w:val="28"/>
          <w:szCs w:val="28"/>
        </w:rPr>
        <w:t>包括优秀学生奖、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学业进步奖、</w:t>
      </w:r>
      <w:r>
        <w:rPr>
          <w:rFonts w:hint="eastAsia" w:ascii="仿宋_GB2312" w:hAnsi="宋体" w:eastAsia="仿宋_GB2312"/>
          <w:sz w:val="28"/>
          <w:szCs w:val="28"/>
        </w:rPr>
        <w:t>优秀学生干部奖、科研创新奖、文体优胜奖、志愿服务奖、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优秀集体奖</w:t>
      </w:r>
      <w:r>
        <w:rPr>
          <w:rFonts w:hint="eastAsia" w:ascii="仿宋_GB2312" w:hAnsi="宋体" w:eastAsia="仿宋_GB2312"/>
          <w:sz w:val="28"/>
          <w:szCs w:val="28"/>
        </w:rPr>
        <w:t>，共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宋体" w:eastAsia="仿宋_GB2312"/>
          <w:sz w:val="28"/>
          <w:szCs w:val="28"/>
        </w:rPr>
        <w:t>项。除优秀集体奖外，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</w:rPr>
        <w:t>每人可申请参报的个人奖项不超过2项。</w:t>
      </w:r>
    </w:p>
    <w:p w14:paraId="18C81DC4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</w:p>
    <w:p w14:paraId="5B4475E0">
      <w:pPr>
        <w:tabs>
          <w:tab w:val="left" w:pos="2464"/>
        </w:tabs>
        <w:adjustRightInd w:val="0"/>
        <w:snapToGrid w:val="0"/>
        <w:spacing w:line="360" w:lineRule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三、申请</w:t>
      </w:r>
      <w:bookmarkStart w:id="0" w:name="_GoBack"/>
      <w:bookmarkEnd w:id="0"/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条件</w:t>
      </w:r>
    </w:p>
    <w:p w14:paraId="1BE8F857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color w:val="0000FF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优秀学生奖</w:t>
      </w:r>
    </w:p>
    <w:p w14:paraId="017FDEC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评定年度</w:t>
      </w:r>
      <w:r>
        <w:rPr>
          <w:rFonts w:hint="eastAsia" w:ascii="仿宋_GB2312" w:hAnsi="宋体" w:eastAsia="仿宋_GB2312"/>
          <w:sz w:val="28"/>
          <w:szCs w:val="28"/>
        </w:rPr>
        <w:t>内无挂科科目且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当年平均学分绩点</w:t>
      </w:r>
      <w:r>
        <w:rPr>
          <w:rFonts w:hint="eastAsia" w:ascii="仿宋_GB2312" w:hAnsi="宋体" w:eastAsia="仿宋_GB2312"/>
          <w:sz w:val="28"/>
          <w:szCs w:val="28"/>
        </w:rPr>
        <w:t>位于专业前30%。</w:t>
      </w:r>
    </w:p>
    <w:p w14:paraId="065012D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大一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大二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年级学生</w:t>
      </w:r>
      <w:r>
        <w:rPr>
          <w:rFonts w:hint="eastAsia" w:ascii="仿宋_GB2312" w:hAnsi="宋体" w:eastAsia="仿宋_GB2312"/>
          <w:sz w:val="28"/>
          <w:szCs w:val="28"/>
        </w:rPr>
        <w:t>通过大学英语四级，大三、大四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年级学生</w:t>
      </w:r>
      <w:r>
        <w:rPr>
          <w:rFonts w:hint="eastAsia" w:ascii="仿宋_GB2312" w:hAnsi="宋体" w:eastAsia="仿宋_GB2312"/>
          <w:sz w:val="28"/>
          <w:szCs w:val="28"/>
        </w:rPr>
        <w:t>通过大学英语六级。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研究生通过大学英语六级。</w:t>
      </w:r>
    </w:p>
    <w:p w14:paraId="4D212A2F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3.曾在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学校或</w:t>
      </w:r>
      <w:r>
        <w:rPr>
          <w:rFonts w:hint="eastAsia" w:ascii="仿宋_GB2312" w:hAnsi="宋体" w:eastAsia="仿宋_GB2312"/>
          <w:sz w:val="28"/>
          <w:szCs w:val="28"/>
        </w:rPr>
        <w:t>学院各级各类学生组织中担任正式职务满一年。</w:t>
      </w:r>
    </w:p>
    <w:p w14:paraId="01520465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4.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在校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期间获得过校级及以上的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各类学科竞赛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奖项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或发表过学术论文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。</w:t>
      </w:r>
    </w:p>
    <w:p w14:paraId="0C7BE12B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highlight w:val="none"/>
        </w:rPr>
      </w:pPr>
    </w:p>
    <w:p w14:paraId="40F1382A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none"/>
          <w:lang w:val="en-US" w:eastAsia="zh-CN"/>
        </w:rPr>
        <w:t>（二）学业进步奖</w:t>
      </w:r>
    </w:p>
    <w:p w14:paraId="2F1CB6F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在评定年度内两个学期成绩均取得进步，平均学分绩点排名在两个学期都有所提升，且进步幅度较为突出，可申请本奖项。</w:t>
      </w:r>
    </w:p>
    <w:p w14:paraId="1CCD6782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本奖项将结合学生申请情况和实际进步幅度进行评选，每年级获奖同学不超过5名。</w:t>
      </w:r>
    </w:p>
    <w:p w14:paraId="7B3F65E8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p w14:paraId="044BCF63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（三）优秀学生干部奖</w:t>
      </w:r>
    </w:p>
    <w:p w14:paraId="54E4140D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入学以来，</w:t>
      </w:r>
      <w:r>
        <w:rPr>
          <w:rFonts w:hint="eastAsia" w:ascii="仿宋_GB2312" w:hAnsi="宋体" w:eastAsia="仿宋_GB2312"/>
          <w:sz w:val="28"/>
          <w:szCs w:val="28"/>
        </w:rPr>
        <w:t>在党支部、班级、团支部中担任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主要</w:t>
      </w:r>
      <w:r>
        <w:rPr>
          <w:rFonts w:hint="eastAsia" w:ascii="仿宋_GB2312" w:hAnsi="宋体" w:eastAsia="仿宋_GB2312"/>
          <w:sz w:val="28"/>
          <w:szCs w:val="28"/>
        </w:rPr>
        <w:t>学生干部，或在学院团学组织中担任主要学生干部满一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学年</w:t>
      </w:r>
      <w:r>
        <w:rPr>
          <w:rFonts w:hint="eastAsia" w:ascii="仿宋_GB2312" w:hAnsi="宋体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不同年度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同一职务最多获评一次）</w:t>
      </w:r>
    </w:p>
    <w:p w14:paraId="3BF64F8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2.乐学爱院，态度端正，评定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</w:rPr>
        <w:t>内必修课无挂科且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全部课程</w:t>
      </w:r>
      <w:r>
        <w:rPr>
          <w:rFonts w:hint="eastAsia" w:ascii="仿宋_GB2312" w:hAnsi="宋体" w:eastAsia="仿宋_GB2312"/>
          <w:sz w:val="28"/>
          <w:szCs w:val="28"/>
        </w:rPr>
        <w:t>平均成绩在80分以上。</w:t>
      </w:r>
    </w:p>
    <w:p w14:paraId="144D8E73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在学生工作中求真务实、公正严谨、团结同学、诚实守信、踏实肯干，拥有全心全意为同学服务的精神；有较高的热情、责任心和较强的组织协调能力，能够主动的、创造性的、高效率的开展工作，有突出的工作业绩，模范作用强，在同学中有较高认可度。</w:t>
      </w:r>
    </w:p>
    <w:p w14:paraId="34EECA66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6AD03190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（四）科研创新奖</w:t>
      </w:r>
    </w:p>
    <w:p w14:paraId="77808A74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满足以下任一标准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即可申请参评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38D8F1AB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评定年度内，以</w:t>
      </w:r>
      <w:r>
        <w:rPr>
          <w:rFonts w:hint="eastAsia" w:ascii="仿宋_GB2312" w:hAnsi="宋体" w:eastAsia="仿宋_GB2312"/>
          <w:sz w:val="28"/>
          <w:szCs w:val="28"/>
        </w:rPr>
        <w:t>独立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作者或除导师外</w:t>
      </w:r>
      <w:r>
        <w:rPr>
          <w:rFonts w:hint="eastAsia" w:ascii="仿宋_GB2312" w:hAnsi="宋体" w:eastAsia="仿宋_GB2312"/>
          <w:sz w:val="28"/>
          <w:szCs w:val="28"/>
        </w:rPr>
        <w:t>第一作者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的身份</w:t>
      </w:r>
      <w:r>
        <w:rPr>
          <w:rFonts w:hint="eastAsia" w:ascii="仿宋_GB2312" w:hAnsi="宋体" w:eastAsia="仿宋_GB2312"/>
          <w:sz w:val="28"/>
          <w:szCs w:val="28"/>
        </w:rPr>
        <w:t>在国内外公开发行的刊物上发表学术论文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或在校级以上学术论坛（含学术会议）中宣讲过论文。</w:t>
      </w:r>
    </w:p>
    <w:p w14:paraId="3DCC5B43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评定年度内，</w:t>
      </w:r>
      <w:r>
        <w:rPr>
          <w:rFonts w:hint="eastAsia" w:ascii="仿宋_GB2312" w:hAnsi="宋体" w:eastAsia="仿宋_GB2312"/>
          <w:sz w:val="28"/>
          <w:szCs w:val="28"/>
        </w:rPr>
        <w:t>在创新发明方面取得显著成绩，科研成果获省部级及以上奖励（含获得国家专利）。</w:t>
      </w:r>
    </w:p>
    <w:p w14:paraId="270BF2DF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评定年度内，</w:t>
      </w:r>
      <w:r>
        <w:rPr>
          <w:rFonts w:hint="eastAsia" w:ascii="仿宋_GB2312" w:hAnsi="宋体" w:eastAsia="仿宋_GB2312"/>
          <w:sz w:val="28"/>
          <w:szCs w:val="28"/>
        </w:rPr>
        <w:t>在各类专业学科竞赛、课外学术科技竞赛中获得市级及以上奖项。</w:t>
      </w:r>
    </w:p>
    <w:p w14:paraId="0BDAB4B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评定年度内，作为项目负责人承担的</w:t>
      </w:r>
      <w:r>
        <w:rPr>
          <w:rFonts w:hint="eastAsia" w:ascii="仿宋_GB2312" w:hAnsi="宋体" w:eastAsia="仿宋_GB2312"/>
          <w:sz w:val="28"/>
          <w:szCs w:val="28"/>
        </w:rPr>
        <w:t>大科创项目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获得市级以上</w:t>
      </w:r>
      <w:r>
        <w:rPr>
          <w:rFonts w:hint="eastAsia" w:ascii="仿宋_GB2312" w:hAnsi="宋体" w:eastAsia="仿宋_GB2312"/>
          <w:sz w:val="28"/>
          <w:szCs w:val="28"/>
        </w:rPr>
        <w:t>立项并成功结题。</w:t>
      </w:r>
    </w:p>
    <w:p w14:paraId="46FF3251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2C3BE552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（五）文体优胜奖</w:t>
      </w:r>
    </w:p>
    <w:p w14:paraId="75F63E2E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满足以下任一标准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即可申请参评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4FD91C1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</w:rPr>
        <w:t>1.评定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</w:rPr>
        <w:t>内，在大型体育比赛中取得较好成绩，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参加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市级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及以上体育比赛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或校运动会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获得个人或集体项目前八名。</w:t>
      </w:r>
    </w:p>
    <w:p w14:paraId="0EFBF861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2.评定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</w:rPr>
        <w:t>内，在大型文艺比赛中取得较好成绩，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在市级及以上比赛及活动中获奖，或</w:t>
      </w:r>
      <w:r>
        <w:rPr>
          <w:rFonts w:hint="eastAsia" w:ascii="仿宋_GB2312" w:hAnsi="宋体" w:eastAsia="仿宋_GB2312"/>
          <w:sz w:val="28"/>
          <w:szCs w:val="28"/>
        </w:rPr>
        <w:t>参加校级及以上文艺比赛获得个人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项目前八名</w:t>
      </w:r>
      <w:r>
        <w:rPr>
          <w:rFonts w:hint="eastAsia" w:ascii="仿宋_GB2312" w:hAnsi="宋体" w:eastAsia="仿宋_GB2312"/>
          <w:sz w:val="28"/>
          <w:szCs w:val="28"/>
        </w:rPr>
        <w:t>或集体项目前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sz w:val="28"/>
          <w:szCs w:val="28"/>
        </w:rPr>
        <w:t>名。</w:t>
      </w:r>
    </w:p>
    <w:p w14:paraId="01917F44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3.评定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内，参加学校和学院组织的文艺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体育类活动不低于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三次，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态度端正、训练认真、表现突出，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发挥了积极作用。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活动范围包括：一二·九合唱、一二·九长跑、校运动会、团体操等。</w:t>
      </w:r>
    </w:p>
    <w:p w14:paraId="62C1D315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FF0000"/>
          <w:sz w:val="28"/>
          <w:szCs w:val="28"/>
        </w:rPr>
      </w:pPr>
    </w:p>
    <w:p w14:paraId="2A8A12C8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（六）志愿服务奖</w:t>
      </w:r>
    </w:p>
    <w:p w14:paraId="0641D8D2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满足以下任一标准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即可申请参评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6D7B2D7C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1.评定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年度</w:t>
      </w:r>
      <w:r>
        <w:rPr>
          <w:rFonts w:hint="eastAsia" w:ascii="仿宋_GB2312" w:hAnsi="宋体" w:eastAsia="仿宋_GB2312"/>
          <w:sz w:val="28"/>
          <w:szCs w:val="28"/>
        </w:rPr>
        <w:t>内，志愿服务时长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满50小时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宋体" w:eastAsia="仿宋_GB2312"/>
          <w:sz w:val="28"/>
          <w:szCs w:val="28"/>
        </w:rPr>
        <w:t>积极参与无偿献血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且志愿服务时长满30小时。（志愿时长以志愿北京为准）</w:t>
      </w:r>
    </w:p>
    <w:p w14:paraId="51946497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.代表学校或学院参加大型活动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或会议的</w:t>
      </w:r>
      <w:r>
        <w:rPr>
          <w:rFonts w:hint="eastAsia" w:ascii="仿宋_GB2312" w:hAnsi="宋体" w:eastAsia="仿宋_GB2312"/>
          <w:sz w:val="28"/>
          <w:szCs w:val="28"/>
        </w:rPr>
        <w:t>服务保障工作，或取得其他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校级</w:t>
      </w:r>
      <w:r>
        <w:rPr>
          <w:rFonts w:hint="eastAsia" w:ascii="仿宋_GB2312" w:hAnsi="宋体" w:eastAsia="仿宋_GB2312"/>
          <w:sz w:val="28"/>
          <w:szCs w:val="28"/>
        </w:rPr>
        <w:t>以上志愿服务类荣誉。</w:t>
      </w:r>
    </w:p>
    <w:p w14:paraId="35EACB58">
      <w:p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65B3860B">
      <w:pPr>
        <w:tabs>
          <w:tab w:val="left" w:pos="2464"/>
        </w:tabs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（七）优秀集体奖</w:t>
      </w:r>
    </w:p>
    <w:p w14:paraId="07958A18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评选集体范围包括党支部、团支部、班级、宿舍、研究生导学团队、团学组织各部门、科研实践团队或文艺体育团队等。</w:t>
      </w:r>
    </w:p>
    <w:p w14:paraId="014953A2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1.所在集体学风优良、作风端正，所有成员学习态度积极，无违法违纪违规行为，集体观念和集体荣誉感强。</w:t>
      </w:r>
    </w:p>
    <w:p w14:paraId="575FAFCA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2.在评定年度内表现突出，组织建设成效显著，或团队整体取得突出成就，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满足以下标准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：</w:t>
      </w:r>
    </w:p>
    <w:p w14:paraId="25A6BEE6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（1）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开展思想建设，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积极参与党的理论学习和相关实践活动，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引导成员在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理论学习、社会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实践中受教育、长才干、做贡献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发挥较好的示范引领作用。</w:t>
      </w:r>
    </w:p>
    <w:p w14:paraId="6C658C05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（2）积极承担各项活动和工作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，为学院取得优异成绩或为学院做出突出贡献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。开展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活动贴近同学生活，内容精彩，获得同学们的一致好评。</w:t>
      </w:r>
    </w:p>
    <w:p w14:paraId="38978CA7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（3）积极构建健康向上、富有吸引力感染力、符合时代主题和大学生特点的集体文化，积极参与市、校、院组织的各项活动和工作，在学院中发挥良好的带动作用。</w:t>
      </w:r>
    </w:p>
    <w:p w14:paraId="7E71149E">
      <w:pPr>
        <w:numPr>
          <w:ilvl w:val="0"/>
          <w:numId w:val="0"/>
        </w:numPr>
        <w:tabs>
          <w:tab w:val="left" w:pos="2464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/>
          <w:color w:val="0000FF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（4）所在集体学业成绩优良，在思政、科研、实践或文体等领域获得校级及以上荣誉或奖励，或所在集体较多成员获评校级及以上荣誉或奖励。</w:t>
      </w:r>
    </w:p>
    <w:p w14:paraId="7AE150B8">
      <w:pPr>
        <w:tabs>
          <w:tab w:val="left" w:pos="2464"/>
        </w:tabs>
        <w:adjustRightInd w:val="0"/>
        <w:snapToGrid w:val="0"/>
        <w:rPr>
          <w:rFonts w:ascii="仿宋_GB2312" w:hAnsi="宋体" w:eastAsia="仿宋_GB2312"/>
          <w:b/>
          <w:bCs/>
          <w:sz w:val="22"/>
          <w:szCs w:val="22"/>
        </w:rPr>
      </w:pPr>
    </w:p>
    <w:p w14:paraId="45B6EDF1">
      <w:pPr>
        <w:tabs>
          <w:tab w:val="left" w:pos="2464"/>
        </w:tabs>
        <w:adjustRightInd w:val="0"/>
        <w:snapToGrid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、评选程序</w:t>
      </w:r>
    </w:p>
    <w:p w14:paraId="5B0D9693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（一）成立评审工作组</w:t>
      </w:r>
    </w:p>
    <w:p w14:paraId="6813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学院成立“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ISEM奖</w:t>
      </w:r>
      <w:r>
        <w:rPr>
          <w:rFonts w:hint="eastAsia" w:ascii="仿宋_GB2312" w:hAnsi="宋体" w:eastAsia="仿宋_GB2312"/>
          <w:sz w:val="28"/>
          <w:szCs w:val="28"/>
        </w:rPr>
        <w:t>评审工作组”（以下简称“评审工作组”），遵循公平、公正、公开的原则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负责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ISEM奖</w:t>
      </w:r>
      <w:r>
        <w:rPr>
          <w:rFonts w:hint="eastAsia" w:ascii="仿宋_GB2312" w:hAnsi="宋体" w:eastAsia="仿宋_GB2312"/>
          <w:sz w:val="28"/>
          <w:szCs w:val="28"/>
        </w:rPr>
        <w:t>的申请、资格审核、资料审查、初步评审、答复申诉等工作。</w:t>
      </w:r>
    </w:p>
    <w:p w14:paraId="60361B98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  <w:lang w:val="en-US" w:eastAsia="zh-CN"/>
        </w:rPr>
        <w:t>评审工作组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t>人员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  <w:lang w:val="en-US" w:eastAsia="zh-CN"/>
        </w:rPr>
        <w:t>包括：</w:t>
      </w:r>
      <w:r>
        <w:rPr>
          <w:rFonts w:hint="eastAsia" w:ascii="仿宋_GB2312" w:hAnsi="宋体" w:eastAsia="仿宋_GB2312"/>
          <w:bCs/>
          <w:sz w:val="28"/>
          <w:szCs w:val="28"/>
          <w:highlight w:val="none"/>
        </w:rPr>
        <w:t>国际经济管理学院</w:t>
      </w:r>
      <w:r>
        <w:rPr>
          <w:rFonts w:hint="eastAsia" w:ascii="仿宋_GB2312" w:hAnsi="宋体" w:eastAsia="仿宋_GB2312"/>
          <w:bCs/>
          <w:sz w:val="28"/>
          <w:szCs w:val="28"/>
          <w:highlight w:val="none"/>
          <w:lang w:val="en-US" w:eastAsia="zh-CN"/>
        </w:rPr>
        <w:t>党委</w:t>
      </w:r>
      <w:r>
        <w:rPr>
          <w:rFonts w:hint="eastAsia" w:ascii="仿宋_GB2312" w:hAnsi="宋体" w:eastAsia="仿宋_GB2312"/>
          <w:bCs/>
          <w:sz w:val="28"/>
          <w:szCs w:val="28"/>
          <w:highlight w:val="none"/>
        </w:rPr>
        <w:t>副书记、团委书记、</w:t>
      </w:r>
      <w:r>
        <w:rPr>
          <w:rFonts w:hint="eastAsia" w:ascii="仿宋_GB2312" w:hAnsi="宋体" w:eastAsia="仿宋_GB2312"/>
          <w:bCs/>
          <w:sz w:val="28"/>
          <w:szCs w:val="28"/>
          <w:highlight w:val="none"/>
          <w:lang w:val="en-US" w:eastAsia="zh-CN"/>
        </w:rPr>
        <w:t>兼职辅导员等。</w:t>
      </w:r>
    </w:p>
    <w:p w14:paraId="01A99CF5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 w:eastAsia="仿宋_GB2312"/>
          <w:bCs/>
          <w:sz w:val="28"/>
          <w:szCs w:val="28"/>
          <w:highlight w:val="none"/>
          <w:lang w:val="en-US" w:eastAsia="zh-CN"/>
        </w:rPr>
      </w:pPr>
    </w:p>
    <w:p w14:paraId="53D11810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（二）学生申请</w:t>
      </w:r>
    </w:p>
    <w:p w14:paraId="49F5C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集体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各同学</w:t>
      </w:r>
      <w:r>
        <w:rPr>
          <w:rFonts w:hint="eastAsia" w:ascii="仿宋_GB2312" w:hAnsi="宋体" w:eastAsia="仿宋_GB2312"/>
          <w:sz w:val="28"/>
          <w:szCs w:val="28"/>
        </w:rPr>
        <w:t>按照通知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要求</w:t>
      </w:r>
      <w:r>
        <w:rPr>
          <w:rFonts w:hint="eastAsia" w:ascii="仿宋_GB2312" w:hAnsi="宋体" w:eastAsia="仿宋_GB2312"/>
          <w:sz w:val="28"/>
          <w:szCs w:val="28"/>
        </w:rPr>
        <w:t>进行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申请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将电子版申请材料放在一个文件夹内，命名为“姓名+本/硕/博XX级X班+XX奖项申请材料”，于</w:t>
      </w:r>
      <w:r>
        <w:rPr>
          <w:rFonts w:hint="eastAsia" w:ascii="仿宋_GB2312" w:hAnsi="宋体" w:eastAsia="仿宋_GB2312"/>
          <w:sz w:val="28"/>
          <w:szCs w:val="28"/>
          <w:highlight w:val="none"/>
          <w:u w:val="single"/>
          <w:lang w:val="en-US" w:eastAsia="zh-CN"/>
        </w:rPr>
        <w:t>2026年3月18日中午12:00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打包发送至邮箱TiffanySylvia@163.com。具体材料包括：</w:t>
      </w:r>
    </w:p>
    <w:p w14:paraId="6B16E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个人或集体申请表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见附件1、附件2，命名为“姓名+xx奖项申请表”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。如申请奖项超过一项，需分别填报申请表。</w:t>
      </w:r>
    </w:p>
    <w:p w14:paraId="1D850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全部证明材料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，如获奖证书、志愿时长截图、成绩证明等（需涵盖申请表中本人陈列的条目），每项证明材料上均应体现本人信息。本科生各学期成绩排名查询方式可参考附件3。</w:t>
      </w:r>
    </w:p>
    <w:p w14:paraId="35E43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（1）申请条件中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“评定年度内”指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>2025年1至12月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，成绩对应学期即2024-2025-2和2025-2026-1两个学期。</w:t>
      </w:r>
    </w:p>
    <w:p w14:paraId="21A446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申请材料为学术论文的，需附见刊证明及全文，并将由学院学术委员会评审认定。</w:t>
      </w:r>
    </w:p>
    <w:p w14:paraId="32D2F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p w14:paraId="0C62BE13">
      <w:pPr>
        <w:keepNext w:val="0"/>
        <w:keepLines w:val="0"/>
        <w:pageBreakBefore w:val="0"/>
        <w:widowControl w:val="0"/>
        <w:tabs>
          <w:tab w:val="left" w:pos="24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（三）学院评审</w:t>
      </w:r>
    </w:p>
    <w:p w14:paraId="61C47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学院评审工作组严格按照规定进行审查，依据评审方案确定拟获奖学生名单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并在学院范围内进行公示，公示时间不少于3个工作日。如有发现不符合条件申报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或材料弄虚作假者</w:t>
      </w:r>
      <w:r>
        <w:rPr>
          <w:rFonts w:hint="eastAsia" w:ascii="仿宋_GB2312" w:hAnsi="宋体" w:eastAsia="仿宋_GB2312"/>
          <w:sz w:val="28"/>
          <w:szCs w:val="28"/>
        </w:rPr>
        <w:t>，则取消参评资格。</w:t>
      </w:r>
    </w:p>
    <w:p w14:paraId="5AE9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</w:p>
    <w:p w14:paraId="7496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联系人：张老师</w:t>
      </w:r>
    </w:p>
    <w:p w14:paraId="75CB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联系电话：83952604</w:t>
      </w:r>
    </w:p>
    <w:p w14:paraId="19C8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联系地址：诚明楼312办公室</w:t>
      </w:r>
    </w:p>
    <w:p w14:paraId="09247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 w14:paraId="66C9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国际经济管理学院学生工作办公室</w:t>
      </w:r>
    </w:p>
    <w:p w14:paraId="771F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2026年3月11日</w:t>
      </w:r>
    </w:p>
    <w:p w14:paraId="59BB587A">
      <w:pPr>
        <w:ind w:right="525"/>
        <w:rPr>
          <w:rFonts w:hint="eastAsia" w:ascii="宋体" w:hAnsi="宋体"/>
          <w:b/>
        </w:rPr>
      </w:pPr>
      <w:r>
        <w:rPr>
          <w:rFonts w:hint="eastAsia" w:ascii="仿宋_GB2312" w:hAnsi="宋体" w:eastAsia="仿宋_GB2312"/>
          <w:sz w:val="22"/>
          <w:szCs w:val="22"/>
        </w:rPr>
        <w:br w:type="page"/>
      </w:r>
      <w:r>
        <w:rPr>
          <w:rFonts w:hint="eastAsia" w:ascii="宋体" w:hAnsi="宋体"/>
          <w:b/>
        </w:rPr>
        <w:t>附件1：</w:t>
      </w:r>
    </w:p>
    <w:p w14:paraId="4B3A03A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国际经济管理学院202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年度ISEM奖</w:t>
      </w:r>
    </w:p>
    <w:p w14:paraId="293F335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</w:t>
      </w:r>
      <w:r>
        <w:rPr>
          <w:rFonts w:hint="eastAsia"/>
          <w:b/>
          <w:sz w:val="32"/>
          <w:szCs w:val="32"/>
          <w:lang w:val="en-US" w:eastAsia="zh-CN"/>
        </w:rPr>
        <w:t>奖项申报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914"/>
        <w:gridCol w:w="1783"/>
        <w:gridCol w:w="839"/>
        <w:gridCol w:w="3194"/>
      </w:tblGrid>
      <w:tr w14:paraId="7713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1" w:type="dxa"/>
            <w:vMerge w:val="restart"/>
            <w:vAlign w:val="center"/>
          </w:tcPr>
          <w:p w14:paraId="3343A4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个人基本情况</w:t>
            </w:r>
          </w:p>
        </w:tc>
        <w:tc>
          <w:tcPr>
            <w:tcW w:w="914" w:type="dxa"/>
            <w:vAlign w:val="center"/>
          </w:tcPr>
          <w:p w14:paraId="30DEF9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3" w:type="dxa"/>
            <w:vAlign w:val="center"/>
          </w:tcPr>
          <w:p w14:paraId="19EF63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141BAC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3194" w:type="dxa"/>
            <w:vAlign w:val="center"/>
          </w:tcPr>
          <w:p w14:paraId="4A11FF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6D7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01" w:type="dxa"/>
            <w:vMerge w:val="continue"/>
            <w:vAlign w:val="center"/>
          </w:tcPr>
          <w:p w14:paraId="66BCA9DB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14:paraId="136A4772"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3" w:type="dxa"/>
            <w:vAlign w:val="center"/>
          </w:tcPr>
          <w:p w14:paraId="3E07FCC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762A1090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94" w:type="dxa"/>
            <w:vAlign w:val="center"/>
          </w:tcPr>
          <w:p w14:paraId="682B52B7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0365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01" w:type="dxa"/>
            <w:vMerge w:val="continue"/>
            <w:vAlign w:val="center"/>
          </w:tcPr>
          <w:p w14:paraId="0A5B5B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15A0CC4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5816" w:type="dxa"/>
            <w:gridSpan w:val="3"/>
            <w:vAlign w:val="center"/>
          </w:tcPr>
          <w:p w14:paraId="0B6C2609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0C53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01" w:type="dxa"/>
            <w:vAlign w:val="center"/>
          </w:tcPr>
          <w:p w14:paraId="33BFC9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申报奖项</w:t>
            </w:r>
          </w:p>
        </w:tc>
        <w:tc>
          <w:tcPr>
            <w:tcW w:w="6730" w:type="dxa"/>
            <w:gridSpan w:val="4"/>
            <w:vAlign w:val="center"/>
          </w:tcPr>
          <w:p w14:paraId="519E4C12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79AD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901" w:type="dxa"/>
            <w:vAlign w:val="center"/>
          </w:tcPr>
          <w:p w14:paraId="316B35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个人表现</w:t>
            </w:r>
            <w:r>
              <w:rPr>
                <w:rFonts w:hint="eastAsia"/>
                <w:sz w:val="24"/>
                <w:lang w:val="en-US" w:eastAsia="zh-CN"/>
              </w:rPr>
              <w:t>及主要事迹</w:t>
            </w:r>
          </w:p>
        </w:tc>
        <w:tc>
          <w:tcPr>
            <w:tcW w:w="6730" w:type="dxa"/>
            <w:gridSpan w:val="4"/>
            <w:vAlign w:val="center"/>
          </w:tcPr>
          <w:p w14:paraId="3B6858DB">
            <w:pPr>
              <w:jc w:val="both"/>
              <w:rPr>
                <w:rFonts w:hint="eastAsia"/>
                <w:b/>
                <w:sz w:val="24"/>
              </w:rPr>
            </w:pPr>
          </w:p>
          <w:p w14:paraId="57FB9C51">
            <w:pPr>
              <w:jc w:val="both"/>
              <w:rPr>
                <w:rFonts w:hint="eastAsia"/>
                <w:b/>
                <w:sz w:val="24"/>
              </w:rPr>
            </w:pPr>
          </w:p>
          <w:p w14:paraId="2BEF9F49">
            <w:pPr>
              <w:jc w:val="both"/>
              <w:rPr>
                <w:rFonts w:hint="eastAsia"/>
                <w:b/>
                <w:sz w:val="24"/>
              </w:rPr>
            </w:pPr>
          </w:p>
          <w:p w14:paraId="29F87F41">
            <w:pPr>
              <w:jc w:val="both"/>
              <w:rPr>
                <w:rFonts w:hint="eastAsia"/>
                <w:b/>
                <w:sz w:val="24"/>
              </w:rPr>
            </w:pPr>
          </w:p>
          <w:p w14:paraId="1E259DEB">
            <w:pPr>
              <w:jc w:val="both"/>
              <w:rPr>
                <w:rFonts w:hint="eastAsia"/>
                <w:b/>
                <w:sz w:val="24"/>
              </w:rPr>
            </w:pPr>
          </w:p>
          <w:p w14:paraId="5D9693FE">
            <w:pPr>
              <w:jc w:val="both"/>
              <w:rPr>
                <w:rFonts w:hint="eastAsia"/>
                <w:b/>
                <w:sz w:val="24"/>
              </w:rPr>
            </w:pPr>
          </w:p>
          <w:p w14:paraId="3B0A61D5">
            <w:pPr>
              <w:jc w:val="both"/>
              <w:rPr>
                <w:rFonts w:hint="eastAsia"/>
                <w:b/>
                <w:sz w:val="24"/>
              </w:rPr>
            </w:pPr>
          </w:p>
          <w:p w14:paraId="039AC709">
            <w:pPr>
              <w:jc w:val="both"/>
              <w:rPr>
                <w:rFonts w:hint="eastAsia"/>
                <w:b/>
                <w:sz w:val="24"/>
              </w:rPr>
            </w:pPr>
          </w:p>
          <w:p w14:paraId="335F4E56">
            <w:pPr>
              <w:jc w:val="both"/>
              <w:rPr>
                <w:rFonts w:hint="eastAsia"/>
                <w:b/>
                <w:sz w:val="24"/>
              </w:rPr>
            </w:pPr>
          </w:p>
          <w:p w14:paraId="6B65DCD3">
            <w:pPr>
              <w:jc w:val="both"/>
              <w:rPr>
                <w:rFonts w:hint="eastAsia"/>
                <w:szCs w:val="21"/>
              </w:rPr>
            </w:pPr>
          </w:p>
          <w:p w14:paraId="22AD43CB">
            <w:pPr>
              <w:jc w:val="both"/>
              <w:rPr>
                <w:rFonts w:hint="eastAsia"/>
                <w:szCs w:val="21"/>
              </w:rPr>
            </w:pPr>
          </w:p>
        </w:tc>
      </w:tr>
      <w:tr w14:paraId="15C4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901" w:type="dxa"/>
            <w:vAlign w:val="center"/>
          </w:tcPr>
          <w:p w14:paraId="1ADA8BE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6730" w:type="dxa"/>
            <w:gridSpan w:val="4"/>
            <w:vAlign w:val="center"/>
          </w:tcPr>
          <w:p w14:paraId="06ED18F8">
            <w:pPr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（包括2025年度全部课程成绩绩点、平均分以及相应专业排名）</w:t>
            </w:r>
          </w:p>
          <w:p w14:paraId="021AE405">
            <w:pPr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例：平均分：92.06   平均分排名：1</w:t>
            </w:r>
          </w:p>
          <w:p w14:paraId="1BA19888">
            <w:pPr>
              <w:jc w:val="both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绩点：4.52   绩点排名：1</w:t>
            </w:r>
          </w:p>
        </w:tc>
      </w:tr>
      <w:tr w14:paraId="16AD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901" w:type="dxa"/>
            <w:vAlign w:val="center"/>
          </w:tcPr>
          <w:p w14:paraId="188D03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730" w:type="dxa"/>
            <w:gridSpan w:val="4"/>
            <w:vAlign w:val="center"/>
          </w:tcPr>
          <w:p w14:paraId="618263FB">
            <w:pPr>
              <w:jc w:val="both"/>
              <w:rPr>
                <w:rFonts w:hint="eastAsia"/>
                <w:b/>
                <w:sz w:val="30"/>
                <w:szCs w:val="30"/>
              </w:rPr>
            </w:pPr>
          </w:p>
          <w:p w14:paraId="63220A2C">
            <w:pPr>
              <w:jc w:val="both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7C3C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901" w:type="dxa"/>
            <w:vAlign w:val="center"/>
          </w:tcPr>
          <w:p w14:paraId="43A249C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6730" w:type="dxa"/>
            <w:gridSpan w:val="4"/>
            <w:vAlign w:val="center"/>
          </w:tcPr>
          <w:p w14:paraId="6A2B8C51">
            <w:pPr>
              <w:jc w:val="center"/>
              <w:rPr>
                <w:rFonts w:hint="eastAsia"/>
                <w:szCs w:val="21"/>
              </w:rPr>
            </w:pPr>
          </w:p>
          <w:p w14:paraId="23340E2B">
            <w:pPr>
              <w:jc w:val="center"/>
              <w:rPr>
                <w:rFonts w:hint="eastAsia"/>
                <w:szCs w:val="21"/>
              </w:rPr>
            </w:pPr>
          </w:p>
          <w:p w14:paraId="773B7EEF">
            <w:pPr>
              <w:jc w:val="center"/>
              <w:rPr>
                <w:rFonts w:hint="eastAsia"/>
                <w:szCs w:val="21"/>
              </w:rPr>
            </w:pPr>
          </w:p>
          <w:p w14:paraId="0D5859AE">
            <w:pPr>
              <w:jc w:val="center"/>
              <w:rPr>
                <w:rFonts w:hint="eastAsia"/>
                <w:szCs w:val="21"/>
              </w:rPr>
            </w:pPr>
          </w:p>
          <w:p w14:paraId="0B66D987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 xml:space="preserve">                                    年  月  日</w:t>
            </w:r>
          </w:p>
        </w:tc>
      </w:tr>
    </w:tbl>
    <w:p w14:paraId="333F6552">
      <w:pPr>
        <w:ind w:right="420"/>
        <w:rPr>
          <w:rFonts w:ascii="宋体" w:hAnsi="宋体"/>
        </w:rPr>
      </w:pPr>
    </w:p>
    <w:p w14:paraId="57A70117">
      <w:pPr>
        <w:jc w:val="left"/>
        <w:rPr>
          <w:rFonts w:hint="eastAsia" w:ascii="宋体" w:hAnsi="宋体"/>
          <w:b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</w:rPr>
        <w:t>附件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：</w:t>
      </w:r>
    </w:p>
    <w:p w14:paraId="47ACCA5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国际经济管理学院</w:t>
      </w: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ISEM</w:t>
      </w:r>
      <w:r>
        <w:rPr>
          <w:rFonts w:hint="eastAsia" w:ascii="宋体" w:hAnsi="宋体"/>
          <w:b/>
          <w:sz w:val="36"/>
          <w:szCs w:val="36"/>
        </w:rPr>
        <w:t>奖</w:t>
      </w:r>
    </w:p>
    <w:p w14:paraId="0850004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优秀</w:t>
      </w:r>
      <w:r>
        <w:rPr>
          <w:rFonts w:hint="eastAsia" w:ascii="宋体" w:hAnsi="宋体"/>
          <w:b/>
          <w:sz w:val="32"/>
          <w:szCs w:val="32"/>
        </w:rPr>
        <w:t>集体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申报</w:t>
      </w:r>
      <w:r>
        <w:rPr>
          <w:rFonts w:hint="eastAsia" w:ascii="宋体" w:hAnsi="宋体"/>
          <w:b/>
          <w:sz w:val="32"/>
          <w:szCs w:val="32"/>
        </w:rPr>
        <w:t>表</w:t>
      </w:r>
    </w:p>
    <w:p w14:paraId="6254BE54">
      <w:pPr>
        <w:ind w:right="420"/>
        <w:rPr>
          <w:rFonts w:ascii="宋体" w:hAnsi="宋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606"/>
      </w:tblGrid>
      <w:tr w14:paraId="3D79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4C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集体名称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220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22BF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0B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申报奖项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3B9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57EA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128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集体表现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</w:p>
          <w:p w14:paraId="2AB6154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主要事迹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D056">
            <w:pPr>
              <w:jc w:val="both"/>
              <w:rPr>
                <w:rFonts w:ascii="宋体" w:hAnsi="宋体"/>
              </w:rPr>
            </w:pPr>
          </w:p>
          <w:p w14:paraId="7B2A53B5">
            <w:pPr>
              <w:jc w:val="both"/>
              <w:rPr>
                <w:rFonts w:ascii="宋体" w:hAnsi="宋体"/>
              </w:rPr>
            </w:pPr>
          </w:p>
          <w:p w14:paraId="4FBFFECE">
            <w:pPr>
              <w:jc w:val="both"/>
              <w:rPr>
                <w:rFonts w:ascii="宋体" w:hAnsi="宋体"/>
              </w:rPr>
            </w:pPr>
          </w:p>
          <w:p w14:paraId="6209400F">
            <w:pPr>
              <w:jc w:val="both"/>
              <w:rPr>
                <w:rFonts w:ascii="宋体" w:hAnsi="宋体"/>
              </w:rPr>
            </w:pPr>
          </w:p>
          <w:p w14:paraId="7AE52069">
            <w:pPr>
              <w:jc w:val="both"/>
              <w:rPr>
                <w:rFonts w:ascii="宋体" w:hAnsi="宋体"/>
              </w:rPr>
            </w:pPr>
          </w:p>
          <w:p w14:paraId="17FE5737">
            <w:pPr>
              <w:jc w:val="both"/>
              <w:rPr>
                <w:rFonts w:ascii="宋体" w:hAnsi="宋体"/>
              </w:rPr>
            </w:pPr>
          </w:p>
          <w:p w14:paraId="13083875">
            <w:pPr>
              <w:jc w:val="both"/>
              <w:rPr>
                <w:rFonts w:ascii="宋体" w:hAnsi="宋体"/>
              </w:rPr>
            </w:pPr>
          </w:p>
          <w:p w14:paraId="4359E649">
            <w:pPr>
              <w:jc w:val="both"/>
              <w:rPr>
                <w:rFonts w:ascii="宋体" w:hAnsi="宋体"/>
              </w:rPr>
            </w:pPr>
          </w:p>
          <w:p w14:paraId="2B83961E">
            <w:pPr>
              <w:jc w:val="both"/>
              <w:rPr>
                <w:rFonts w:ascii="宋体" w:hAnsi="宋体"/>
              </w:rPr>
            </w:pPr>
          </w:p>
          <w:p w14:paraId="61BD34E5">
            <w:pPr>
              <w:jc w:val="both"/>
              <w:rPr>
                <w:rFonts w:ascii="宋体" w:hAnsi="宋体"/>
              </w:rPr>
            </w:pPr>
          </w:p>
          <w:p w14:paraId="262B3356">
            <w:pPr>
              <w:jc w:val="both"/>
              <w:rPr>
                <w:rFonts w:ascii="宋体" w:hAnsi="宋体"/>
              </w:rPr>
            </w:pPr>
          </w:p>
        </w:tc>
      </w:tr>
      <w:tr w14:paraId="3154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443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成员名单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D82B8">
            <w:pPr>
              <w:jc w:val="both"/>
              <w:rPr>
                <w:rFonts w:hint="eastAsia" w:ascii="宋体" w:hAnsi="宋体"/>
                <w:b w:val="0"/>
                <w:bCs/>
                <w:lang w:val="en-US" w:eastAsia="zh-CN"/>
              </w:rPr>
            </w:pPr>
          </w:p>
          <w:p w14:paraId="6C5758A9">
            <w:pPr>
              <w:jc w:val="both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例：2023级本科2班xxx，2024级本科1班xxx，……</w:t>
            </w:r>
          </w:p>
        </w:tc>
      </w:tr>
      <w:tr w14:paraId="7538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11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95DEC">
            <w:pPr>
              <w:jc w:val="both"/>
              <w:rPr>
                <w:rFonts w:ascii="宋体" w:hAnsi="宋体"/>
                <w:b/>
                <w:sz w:val="30"/>
                <w:szCs w:val="30"/>
              </w:rPr>
            </w:pPr>
          </w:p>
          <w:p w14:paraId="263DEA9D">
            <w:pPr>
              <w:jc w:val="both"/>
              <w:rPr>
                <w:rFonts w:ascii="宋体" w:hAnsi="宋体"/>
                <w:b/>
                <w:sz w:val="30"/>
                <w:szCs w:val="30"/>
              </w:rPr>
            </w:pPr>
          </w:p>
          <w:p w14:paraId="66A3D1EB">
            <w:pPr>
              <w:jc w:val="both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67ED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A9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6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E0B4">
            <w:pPr>
              <w:jc w:val="center"/>
              <w:rPr>
                <w:rFonts w:ascii="宋体" w:hAnsi="宋体"/>
              </w:rPr>
            </w:pPr>
          </w:p>
          <w:p w14:paraId="418DAD5F">
            <w:pPr>
              <w:jc w:val="center"/>
              <w:rPr>
                <w:rFonts w:ascii="宋体" w:hAnsi="宋体"/>
              </w:rPr>
            </w:pPr>
          </w:p>
          <w:p w14:paraId="5D64CBD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t xml:space="preserve">                                    </w:t>
            </w:r>
            <w:r>
              <w:rPr>
                <w:rFonts w:hint="eastAsia" w:ascii="宋体" w:hAnsi="宋体"/>
              </w:rPr>
              <w:t xml:space="preserve">年 </w:t>
            </w:r>
            <w: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8F40E06">
      <w:pPr>
        <w:rPr>
          <w:rFonts w:hint="eastAsia" w:ascii="宋体" w:hAnsi="宋体"/>
        </w:rPr>
      </w:pPr>
      <w:r>
        <w:rPr>
          <w:rFonts w:hint="eastAsia" w:ascii="宋体" w:hAnsi="宋体"/>
        </w:rPr>
        <w:br w:type="page"/>
      </w:r>
    </w:p>
    <w:p w14:paraId="7947A015">
      <w:pPr>
        <w:ind w:right="525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附件3：手机查询各学期成绩排名流程（供参考）</w:t>
      </w:r>
    </w:p>
    <w:p w14:paraId="6DD6FAC9">
      <w:pPr>
        <w:ind w:right="525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</w:p>
    <w:p w14:paraId="520B57D7">
      <w:pPr>
        <w:ind w:right="525"/>
        <w:rPr>
          <w:rFonts w:hint="default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852295" cy="2814955"/>
            <wp:effectExtent l="0" t="0" r="6985" b="4445"/>
            <wp:docPr id="1" name="图片 1" descr="70efaefd19f2e5de37af766b768b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efaefd19f2e5de37af766b768bb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 w:val="0"/>
          <w:bCs/>
          <w:lang w:val="en-US" w:eastAsia="zh-CN"/>
        </w:rPr>
        <w:t xml:space="preserve">  </w:t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760220" cy="2929890"/>
            <wp:effectExtent l="0" t="0" r="0" b="0"/>
            <wp:docPr id="2" name="图片 2" descr="73afa6d9839167ebed3d432042c8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afa6d9839167ebed3d432042c8950"/>
                    <pic:cNvPicPr>
                      <a:picLocks noChangeAspect="1"/>
                    </pic:cNvPicPr>
                  </pic:nvPicPr>
                  <pic:blipFill>
                    <a:blip r:embed="rId7"/>
                    <a:srcRect b="19124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513840" cy="3117850"/>
            <wp:effectExtent l="0" t="0" r="10160" b="6350"/>
            <wp:docPr id="3" name="图片 3" descr="8820410e64632c7509e87775697a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20410e64632c7509e87775697aca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673860" cy="3455035"/>
            <wp:effectExtent l="0" t="0" r="2540" b="4445"/>
            <wp:docPr id="4" name="图片 4" descr="473b3e1f5f7f196777f2ffb9f456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3b3e1f5f7f196777f2ffb9f456d5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843405" cy="3222625"/>
            <wp:effectExtent l="0" t="0" r="635" b="8255"/>
            <wp:docPr id="5" name="图片 5" descr="fb6a8510e90897bd5c8c7844a507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6a8510e90897bd5c8c7844a507cbb"/>
                    <pic:cNvPicPr>
                      <a:picLocks noChangeAspect="1"/>
                    </pic:cNvPicPr>
                  </pic:nvPicPr>
                  <pic:blipFill>
                    <a:blip r:embed="rId10"/>
                    <a:srcRect b="15312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/>
          <w:b w:val="0"/>
          <w:bCs/>
          <w:lang w:val="en-US" w:eastAsia="zh-CN"/>
        </w:rPr>
        <w:drawing>
          <wp:inline distT="0" distB="0" distL="114300" distR="114300">
            <wp:extent cx="1837690" cy="3220720"/>
            <wp:effectExtent l="0" t="0" r="6350" b="10160"/>
            <wp:docPr id="6" name="图片 6" descr="b9d3a475b0bbc468ab4e9f8472bc8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9d3a475b0bbc468ab4e9f8472bc83b"/>
                    <pic:cNvPicPr>
                      <a:picLocks noChangeAspect="1"/>
                    </pic:cNvPicPr>
                  </pic:nvPicPr>
                  <pic:blipFill>
                    <a:blip r:embed="rId11"/>
                    <a:srcRect b="15743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Calligraphy">
    <w:altName w:val="Pristina"/>
    <w:panose1 w:val="03010101010101010101"/>
    <w:charset w:val="00"/>
    <w:family w:val="script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10F94">
    <w:pPr>
      <w:pStyle w:val="3"/>
      <w:tabs>
        <w:tab w:val="center" w:pos="4153"/>
        <w:tab w:val="right" w:pos="8306"/>
        <w:tab w:val="clear" w:pos="4140"/>
        <w:tab w:val="clear" w:pos="8300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 w14:paraId="092D2E06">
    <w:pPr>
      <w:pStyle w:val="3"/>
      <w:tabs>
        <w:tab w:val="center" w:pos="4153"/>
        <w:tab w:val="right" w:pos="8306"/>
        <w:tab w:val="clear" w:pos="4140"/>
        <w:tab w:val="clear" w:pos="830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79E5D">
    <w:pPr>
      <w:pStyle w:val="3"/>
      <w:framePr w:wrap="around" w:vAnchor="text" w:hAnchor="margin" w:xAlign="right" w:yAlign="top"/>
      <w:tabs>
        <w:tab w:val="center" w:pos="4153"/>
        <w:tab w:val="right" w:pos="8306"/>
        <w:tab w:val="clear" w:pos="4140"/>
        <w:tab w:val="clear" w:pos="8300"/>
      </w:tabs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387DDC04">
    <w:pPr>
      <w:pStyle w:val="3"/>
      <w:tabs>
        <w:tab w:val="center" w:pos="4153"/>
        <w:tab w:val="right" w:pos="8306"/>
        <w:tab w:val="clear" w:pos="4140"/>
        <w:tab w:val="clear" w:pos="8300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9224B"/>
    <w:multiLevelType w:val="singleLevel"/>
    <w:tmpl w:val="8339224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NWY4MjU2MWU4MDExYjQ3Yzk0ZTA0YjNlMWY0NzkifQ=="/>
  </w:docVars>
  <w:rsids>
    <w:rsidRoot w:val="00172A27"/>
    <w:rsid w:val="000450EB"/>
    <w:rsid w:val="00063D46"/>
    <w:rsid w:val="000C668C"/>
    <w:rsid w:val="000E6113"/>
    <w:rsid w:val="000F0FF6"/>
    <w:rsid w:val="00141B80"/>
    <w:rsid w:val="0016416D"/>
    <w:rsid w:val="001B512B"/>
    <w:rsid w:val="00274AF2"/>
    <w:rsid w:val="002B0424"/>
    <w:rsid w:val="002E3ABF"/>
    <w:rsid w:val="0031276C"/>
    <w:rsid w:val="00370DBE"/>
    <w:rsid w:val="00387DB7"/>
    <w:rsid w:val="003C1747"/>
    <w:rsid w:val="003E2CB7"/>
    <w:rsid w:val="004079B8"/>
    <w:rsid w:val="0046643F"/>
    <w:rsid w:val="00480DBD"/>
    <w:rsid w:val="004B5897"/>
    <w:rsid w:val="004D381A"/>
    <w:rsid w:val="005323D6"/>
    <w:rsid w:val="00561C15"/>
    <w:rsid w:val="006C086B"/>
    <w:rsid w:val="007238CE"/>
    <w:rsid w:val="0075772C"/>
    <w:rsid w:val="007D6FFB"/>
    <w:rsid w:val="008214E7"/>
    <w:rsid w:val="008E0198"/>
    <w:rsid w:val="008F4667"/>
    <w:rsid w:val="0098286F"/>
    <w:rsid w:val="00A371B8"/>
    <w:rsid w:val="00A80224"/>
    <w:rsid w:val="00AC68AE"/>
    <w:rsid w:val="00AF087F"/>
    <w:rsid w:val="00AF4016"/>
    <w:rsid w:val="00B31B43"/>
    <w:rsid w:val="00B85901"/>
    <w:rsid w:val="00C02815"/>
    <w:rsid w:val="00C05DFD"/>
    <w:rsid w:val="00C271D6"/>
    <w:rsid w:val="00C420F3"/>
    <w:rsid w:val="00C46694"/>
    <w:rsid w:val="00C730AC"/>
    <w:rsid w:val="00C76AD9"/>
    <w:rsid w:val="00C864A4"/>
    <w:rsid w:val="00D013AF"/>
    <w:rsid w:val="00D261D9"/>
    <w:rsid w:val="00D27DEC"/>
    <w:rsid w:val="00D80713"/>
    <w:rsid w:val="00D9429D"/>
    <w:rsid w:val="00E21586"/>
    <w:rsid w:val="00E362A5"/>
    <w:rsid w:val="00E66609"/>
    <w:rsid w:val="00E70824"/>
    <w:rsid w:val="00E76631"/>
    <w:rsid w:val="00F3455C"/>
    <w:rsid w:val="00FC3416"/>
    <w:rsid w:val="00FC5DC9"/>
    <w:rsid w:val="00FD3A80"/>
    <w:rsid w:val="014337F8"/>
    <w:rsid w:val="017359E4"/>
    <w:rsid w:val="01B4263C"/>
    <w:rsid w:val="04952B38"/>
    <w:rsid w:val="04F217BD"/>
    <w:rsid w:val="06F6441C"/>
    <w:rsid w:val="094C2BEA"/>
    <w:rsid w:val="094F45AF"/>
    <w:rsid w:val="0C886D0C"/>
    <w:rsid w:val="0EC57F43"/>
    <w:rsid w:val="0FF860F6"/>
    <w:rsid w:val="10F13DF2"/>
    <w:rsid w:val="121C688D"/>
    <w:rsid w:val="12E610B3"/>
    <w:rsid w:val="15465181"/>
    <w:rsid w:val="16C02B7B"/>
    <w:rsid w:val="18A95A86"/>
    <w:rsid w:val="197E1B35"/>
    <w:rsid w:val="1BCB72C4"/>
    <w:rsid w:val="1D597F73"/>
    <w:rsid w:val="1DCD0BC2"/>
    <w:rsid w:val="1E8C465A"/>
    <w:rsid w:val="20087C8F"/>
    <w:rsid w:val="207B2B57"/>
    <w:rsid w:val="20C04A0E"/>
    <w:rsid w:val="214C004F"/>
    <w:rsid w:val="21DC7056"/>
    <w:rsid w:val="253432D4"/>
    <w:rsid w:val="28550131"/>
    <w:rsid w:val="28D36068"/>
    <w:rsid w:val="2976450A"/>
    <w:rsid w:val="2A111E36"/>
    <w:rsid w:val="2AFA0B1C"/>
    <w:rsid w:val="2C3C4CA0"/>
    <w:rsid w:val="2E862DF3"/>
    <w:rsid w:val="2E932DDA"/>
    <w:rsid w:val="314A45AB"/>
    <w:rsid w:val="31CF41E7"/>
    <w:rsid w:val="320024CC"/>
    <w:rsid w:val="32230959"/>
    <w:rsid w:val="34684D49"/>
    <w:rsid w:val="357C6B75"/>
    <w:rsid w:val="3643476D"/>
    <w:rsid w:val="364C0E10"/>
    <w:rsid w:val="36F741E5"/>
    <w:rsid w:val="3710594F"/>
    <w:rsid w:val="37F019F2"/>
    <w:rsid w:val="38FB43DD"/>
    <w:rsid w:val="39D07618"/>
    <w:rsid w:val="3A944AE9"/>
    <w:rsid w:val="3BDE424F"/>
    <w:rsid w:val="3C3C0A98"/>
    <w:rsid w:val="3F9D72FB"/>
    <w:rsid w:val="41401527"/>
    <w:rsid w:val="43BC46FE"/>
    <w:rsid w:val="449806FE"/>
    <w:rsid w:val="45215FFE"/>
    <w:rsid w:val="46945077"/>
    <w:rsid w:val="47190850"/>
    <w:rsid w:val="47C63E08"/>
    <w:rsid w:val="48111527"/>
    <w:rsid w:val="48D16F09"/>
    <w:rsid w:val="4B054348"/>
    <w:rsid w:val="4B906C07"/>
    <w:rsid w:val="4CC9005B"/>
    <w:rsid w:val="4CDD12A8"/>
    <w:rsid w:val="4D5D520F"/>
    <w:rsid w:val="4D693BB4"/>
    <w:rsid w:val="4F7D3946"/>
    <w:rsid w:val="4F8E345D"/>
    <w:rsid w:val="4F961B0B"/>
    <w:rsid w:val="4FAA2BC4"/>
    <w:rsid w:val="51152D51"/>
    <w:rsid w:val="514E5798"/>
    <w:rsid w:val="51D1730E"/>
    <w:rsid w:val="52044A84"/>
    <w:rsid w:val="53EB2A0F"/>
    <w:rsid w:val="543A5B7A"/>
    <w:rsid w:val="54523281"/>
    <w:rsid w:val="5A902780"/>
    <w:rsid w:val="5AC05A36"/>
    <w:rsid w:val="5AE605F2"/>
    <w:rsid w:val="5B2B3AB1"/>
    <w:rsid w:val="5B5361F1"/>
    <w:rsid w:val="5C4F0418"/>
    <w:rsid w:val="5D1458EA"/>
    <w:rsid w:val="5D3D07DE"/>
    <w:rsid w:val="5D99194B"/>
    <w:rsid w:val="609F196E"/>
    <w:rsid w:val="60CB2763"/>
    <w:rsid w:val="6466663D"/>
    <w:rsid w:val="649966D5"/>
    <w:rsid w:val="655E40F7"/>
    <w:rsid w:val="671C54AE"/>
    <w:rsid w:val="68745B85"/>
    <w:rsid w:val="6A3C6480"/>
    <w:rsid w:val="6A3D5D54"/>
    <w:rsid w:val="6A991DBA"/>
    <w:rsid w:val="6B9B0F84"/>
    <w:rsid w:val="6C20148A"/>
    <w:rsid w:val="6CA502F3"/>
    <w:rsid w:val="6D4713C4"/>
    <w:rsid w:val="6DA531CF"/>
    <w:rsid w:val="6E2E629D"/>
    <w:rsid w:val="6F7A7BBB"/>
    <w:rsid w:val="6F871F4B"/>
    <w:rsid w:val="70ED284D"/>
    <w:rsid w:val="72195976"/>
    <w:rsid w:val="7284179A"/>
    <w:rsid w:val="7355410F"/>
    <w:rsid w:val="7420471D"/>
    <w:rsid w:val="7443665D"/>
    <w:rsid w:val="74A96220"/>
    <w:rsid w:val="751B4DE5"/>
    <w:rsid w:val="78591FAB"/>
    <w:rsid w:val="7A747570"/>
    <w:rsid w:val="7B494559"/>
    <w:rsid w:val="7BA75723"/>
    <w:rsid w:val="7C907F65"/>
    <w:rsid w:val="7CE24350"/>
    <w:rsid w:val="7D4F1BCF"/>
    <w:rsid w:val="7D9E66C1"/>
    <w:rsid w:val="7DA34A17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nhideWhenUsed="0" w:uiPriority="0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0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nhideWhenUsed="0" w:uiPriority="0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nhideWhenUsed="0" w:uiPriority="0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nhideWhenUsed="0" w:uiPriority="0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1"/>
    <w:rPr>
      <w:sz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Unresolved Mention"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3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2583</Words>
  <Characters>2738</Characters>
  <Lines>36</Lines>
  <Paragraphs>10</Paragraphs>
  <TotalTime>20</TotalTime>
  <ScaleCrop>false</ScaleCrop>
  <LinksUpToDate>false</LinksUpToDate>
  <CharactersWithSpaces>2829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2024-11-14T13:06:00Z</dcterms:created>
  <dc:creator>linan</dc:creator>
  <cp:lastModifiedBy>凌霜扶风落花闲</cp:lastModifiedBy>
  <cp:lastPrinted>2007-04-06T06:20:00Z</cp:lastPrinted>
  <dcterms:modified xsi:type="dcterms:W3CDTF">2026-03-11T03:16:37Z</dcterms:modified>
  <dc:title>关于组织评选“劳动经济学院校友基金奖学金”工作的通知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82A2EF2B4D3F456DBD05E31791E8EE45_13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